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3C7" w:rsidRPr="004066C3" w:rsidRDefault="008433C7" w:rsidP="008433C7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066C3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4066C3">
        <w:rPr>
          <w:color w:val="808080" w:themeColor="background1" w:themeShade="80"/>
          <w:sz w:val="24"/>
        </w:rPr>
        <w:t>GPP TSG-RAN WG4 Meeting #7</w:t>
      </w:r>
      <w:r w:rsidR="00190BBB">
        <w:rPr>
          <w:color w:val="808080" w:themeColor="background1" w:themeShade="80"/>
          <w:sz w:val="24"/>
        </w:rPr>
        <w:t>7</w:t>
      </w:r>
      <w:r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4066C3" w:rsidRPr="004066C3">
        <w:rPr>
          <w:bCs w:val="0"/>
          <w:color w:val="808080"/>
          <w:sz w:val="26"/>
          <w:szCs w:val="26"/>
        </w:rPr>
        <w:t>R4-</w:t>
      </w:r>
      <w:r w:rsidR="00C27910">
        <w:rPr>
          <w:bCs w:val="0"/>
          <w:color w:val="808080"/>
          <w:sz w:val="26"/>
          <w:szCs w:val="26"/>
        </w:rPr>
        <w:t>158344</w:t>
      </w:r>
    </w:p>
    <w:p w:rsidR="008433C7" w:rsidRDefault="00190BBB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Anaheim</w:t>
      </w:r>
      <w:r w:rsidR="008433C7">
        <w:rPr>
          <w:color w:val="808080" w:themeColor="background1" w:themeShade="80"/>
          <w:sz w:val="24"/>
        </w:rPr>
        <w:t xml:space="preserve">, </w:t>
      </w:r>
      <w:r>
        <w:rPr>
          <w:color w:val="808080" w:themeColor="background1" w:themeShade="80"/>
          <w:sz w:val="24"/>
        </w:rPr>
        <w:t xml:space="preserve">U. S. A.  </w:t>
      </w:r>
      <w:r w:rsidR="00DA4D27">
        <w:rPr>
          <w:color w:val="808080" w:themeColor="background1" w:themeShade="80"/>
          <w:sz w:val="24"/>
        </w:rPr>
        <w:t>1</w:t>
      </w:r>
      <w:r>
        <w:rPr>
          <w:color w:val="808080" w:themeColor="background1" w:themeShade="80"/>
          <w:sz w:val="24"/>
        </w:rPr>
        <w:t>6</w:t>
      </w:r>
      <w:r w:rsidR="008433C7">
        <w:rPr>
          <w:color w:val="808080" w:themeColor="background1" w:themeShade="80"/>
          <w:sz w:val="24"/>
        </w:rPr>
        <w:t xml:space="preserve"> </w:t>
      </w:r>
      <w:r w:rsidR="008433C7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20</w:t>
      </w:r>
      <w:r w:rsidR="008433C7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November</w:t>
      </w:r>
      <w:r w:rsidR="008433C7" w:rsidRPr="003A4F6F">
        <w:rPr>
          <w:color w:val="808080" w:themeColor="background1" w:themeShade="80"/>
          <w:sz w:val="24"/>
        </w:rPr>
        <w:t xml:space="preserve"> 2015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C33302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E5536F" w:rsidRPr="00742299">
        <w:rPr>
          <w:rFonts w:ascii="Arial" w:hAnsi="Arial" w:cs="Arial"/>
          <w:lang w:val="en-US"/>
        </w:rPr>
        <w:t xml:space="preserve">TP </w:t>
      </w:r>
      <w:r w:rsidR="000457F0" w:rsidRPr="00742299">
        <w:rPr>
          <w:rFonts w:ascii="Arial" w:hAnsi="Arial" w:cs="Arial"/>
          <w:lang w:val="en-US"/>
        </w:rPr>
        <w:t>for Section</w:t>
      </w:r>
      <w:r w:rsidR="00190BBB" w:rsidRPr="00742299">
        <w:rPr>
          <w:rFonts w:ascii="Arial" w:hAnsi="Arial" w:cs="Arial"/>
          <w:lang w:val="en-US"/>
        </w:rPr>
        <w:t>s</w:t>
      </w:r>
      <w:r w:rsidR="000457F0" w:rsidRPr="00742299">
        <w:rPr>
          <w:rFonts w:ascii="Arial" w:hAnsi="Arial" w:cs="Arial"/>
          <w:lang w:val="en-US"/>
        </w:rPr>
        <w:t xml:space="preserve"> </w:t>
      </w:r>
      <w:r w:rsidR="007D1EA8" w:rsidRPr="00742299">
        <w:rPr>
          <w:rFonts w:ascii="Arial" w:hAnsi="Arial" w:cs="Arial"/>
          <w:lang w:val="en-US"/>
        </w:rPr>
        <w:t>8</w:t>
      </w:r>
      <w:r w:rsidR="00190BBB" w:rsidRPr="00742299">
        <w:rPr>
          <w:rFonts w:ascii="Arial" w:hAnsi="Arial" w:cs="Arial"/>
          <w:lang w:val="en-US"/>
        </w:rPr>
        <w:t xml:space="preserve"> </w:t>
      </w:r>
      <w:r w:rsidR="00C0370A" w:rsidRPr="00742299">
        <w:rPr>
          <w:rFonts w:ascii="Arial" w:hAnsi="Arial" w:cs="Arial"/>
          <w:lang w:val="en-US"/>
        </w:rPr>
        <w:t>(</w:t>
      </w:r>
      <w:r w:rsidR="007D1EA8" w:rsidRPr="00742299">
        <w:rPr>
          <w:rFonts w:ascii="Arial" w:hAnsi="Arial" w:cs="Arial"/>
          <w:lang w:val="en-US"/>
        </w:rPr>
        <w:t>conclusion</w:t>
      </w:r>
      <w:r w:rsidR="00C0370A" w:rsidRPr="00742299">
        <w:rPr>
          <w:rFonts w:ascii="Arial" w:hAnsi="Arial" w:cs="Arial"/>
          <w:lang w:val="en-US"/>
        </w:rPr>
        <w:t>)</w:t>
      </w:r>
      <w:r w:rsidR="000457F0" w:rsidRPr="00742299">
        <w:rPr>
          <w:rFonts w:ascii="Arial" w:hAnsi="Arial" w:cs="Arial"/>
          <w:lang w:val="en-US"/>
        </w:rPr>
        <w:t xml:space="preserve"> </w:t>
      </w:r>
      <w:r w:rsidR="004E6160">
        <w:rPr>
          <w:rFonts w:ascii="Arial" w:hAnsi="Arial" w:cs="Arial"/>
          <w:lang w:val="en-US"/>
        </w:rPr>
        <w:t>for</w:t>
      </w:r>
      <w:r w:rsidR="000457F0" w:rsidRPr="00742299">
        <w:rPr>
          <w:rFonts w:ascii="Arial" w:hAnsi="Arial" w:cs="Arial"/>
          <w:lang w:val="en-US"/>
        </w:rPr>
        <w:t xml:space="preserve"> </w:t>
      </w:r>
      <w:r w:rsidR="00813F63" w:rsidRPr="00742299">
        <w:rPr>
          <w:rFonts w:ascii="Arial" w:hAnsi="Arial" w:cs="Arial"/>
          <w:lang w:val="en-US"/>
        </w:rPr>
        <w:t>TR</w:t>
      </w:r>
      <w:r w:rsidR="00190BBB" w:rsidRPr="00742299">
        <w:rPr>
          <w:rFonts w:ascii="Arial" w:hAnsi="Arial" w:cs="Arial"/>
          <w:lang w:val="en-US"/>
        </w:rPr>
        <w:t xml:space="preserve"> </w:t>
      </w:r>
      <w:r w:rsidR="00813F63" w:rsidRPr="00742299">
        <w:rPr>
          <w:rFonts w:ascii="Arial" w:hAnsi="Arial" w:cs="Arial"/>
          <w:lang w:val="en-US"/>
        </w:rPr>
        <w:t>36.870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FS_LTE_AWS_3_4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BA3DAC" w:rsidRPr="00742299">
        <w:rPr>
          <w:rFonts w:ascii="Arial" w:hAnsi="Arial" w:cs="Arial"/>
          <w:lang w:val="en-US"/>
        </w:rPr>
        <w:t>9.4.</w:t>
      </w:r>
      <w:r w:rsidR="00C6770F" w:rsidRPr="00742299">
        <w:rPr>
          <w:rFonts w:ascii="Arial" w:hAnsi="Arial" w:cs="Arial"/>
          <w:lang w:val="en-US"/>
        </w:rPr>
        <w:t>2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683570" w:rsidRDefault="00683570" w:rsidP="003F3CBE">
      <w:pPr>
        <w:pStyle w:val="NormalWeb"/>
        <w:shd w:val="clear" w:color="auto" w:fill="FFFFFF"/>
        <w:spacing w:before="0" w:beforeAutospacing="0" w:after="0" w:afterAutospacing="0" w:line="253" w:lineRule="atLeast"/>
        <w:jc w:val="both"/>
        <w:rPr>
          <w:rFonts w:ascii="Arial" w:hAnsi="Arial" w:cs="Arial"/>
          <w:b/>
          <w:color w:val="636363"/>
          <w:sz w:val="28"/>
          <w:szCs w:val="28"/>
        </w:rPr>
      </w:pPr>
      <w:r>
        <w:rPr>
          <w:rFonts w:ascii="Arial" w:hAnsi="Arial" w:cs="Arial"/>
          <w:b/>
          <w:color w:val="636363"/>
          <w:sz w:val="28"/>
          <w:szCs w:val="28"/>
        </w:rPr>
        <w:t>Abstract</w:t>
      </w:r>
    </w:p>
    <w:p w:rsidR="00683570" w:rsidRPr="00683570" w:rsidRDefault="00683570" w:rsidP="004B4787">
      <w:pPr>
        <w:pStyle w:val="NormalWeb"/>
        <w:shd w:val="clear" w:color="auto" w:fill="FFFFFF"/>
        <w:spacing w:before="0" w:beforeAutospacing="0" w:after="240" w:afterAutospacing="0" w:line="253" w:lineRule="atLeast"/>
        <w:jc w:val="both"/>
        <w:rPr>
          <w:rFonts w:ascii="Arial" w:hAnsi="Arial" w:cs="Arial"/>
          <w:color w:val="636363"/>
          <w:sz w:val="28"/>
          <w:szCs w:val="28"/>
        </w:rPr>
      </w:pPr>
      <w:r w:rsidRPr="00683570">
        <w:rPr>
          <w:rFonts w:ascii="Times New Roman" w:hAnsi="Times New Roman"/>
          <w:color w:val="636363"/>
        </w:rPr>
        <w:t xml:space="preserve">This document </w:t>
      </w:r>
      <w:r w:rsidR="00813F63">
        <w:rPr>
          <w:rFonts w:ascii="Times New Roman" w:hAnsi="Times New Roman"/>
          <w:color w:val="636363"/>
        </w:rPr>
        <w:t>provides a TP for Section</w:t>
      </w:r>
      <w:r w:rsidR="00C6770F">
        <w:rPr>
          <w:rFonts w:ascii="Times New Roman" w:hAnsi="Times New Roman"/>
          <w:color w:val="636363"/>
        </w:rPr>
        <w:t xml:space="preserve">s </w:t>
      </w:r>
      <w:r w:rsidR="00742299">
        <w:rPr>
          <w:rFonts w:ascii="Times New Roman" w:hAnsi="Times New Roman"/>
          <w:color w:val="636363"/>
        </w:rPr>
        <w:t xml:space="preserve">8 </w:t>
      </w:r>
      <w:r w:rsidR="000457F0">
        <w:rPr>
          <w:rFonts w:ascii="Times New Roman" w:hAnsi="Times New Roman"/>
          <w:color w:val="636363"/>
        </w:rPr>
        <w:t>(</w:t>
      </w:r>
      <w:r w:rsidR="00742299">
        <w:rPr>
          <w:rFonts w:ascii="Times New Roman" w:hAnsi="Times New Roman"/>
          <w:color w:val="636363"/>
        </w:rPr>
        <w:t>Conclusion</w:t>
      </w:r>
      <w:r w:rsidR="000457F0">
        <w:rPr>
          <w:rFonts w:ascii="Times New Roman" w:hAnsi="Times New Roman"/>
          <w:color w:val="636363"/>
        </w:rPr>
        <w:t>)</w:t>
      </w:r>
      <w:r>
        <w:rPr>
          <w:rFonts w:ascii="Times New Roman" w:hAnsi="Times New Roman"/>
          <w:color w:val="636363"/>
        </w:rPr>
        <w:t>. (pCR)</w:t>
      </w:r>
      <w:r w:rsidRPr="00683570">
        <w:rPr>
          <w:rFonts w:ascii="Arial" w:hAnsi="Arial" w:cs="Arial"/>
          <w:color w:val="636363"/>
          <w:sz w:val="28"/>
          <w:szCs w:val="28"/>
        </w:rPr>
        <w:t xml:space="preserve"> </w:t>
      </w:r>
      <w:r w:rsidR="00897269" w:rsidRPr="00683570">
        <w:rPr>
          <w:rFonts w:ascii="Arial" w:hAnsi="Arial" w:cs="Arial"/>
          <w:color w:val="636363"/>
          <w:sz w:val="28"/>
          <w:szCs w:val="28"/>
        </w:rPr>
        <w:tab/>
      </w:r>
      <w:r w:rsidR="00897269" w:rsidRPr="00683570">
        <w:rPr>
          <w:rFonts w:ascii="Arial" w:hAnsi="Arial" w:cs="Arial"/>
          <w:color w:val="636363"/>
          <w:sz w:val="28"/>
          <w:szCs w:val="28"/>
        </w:rPr>
        <w:tab/>
      </w:r>
    </w:p>
    <w:p w:rsidR="00742299" w:rsidRPr="004807EB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742299" w:rsidRPr="004807EB" w:rsidRDefault="00F93E07" w:rsidP="0090682D">
      <w:pPr>
        <w:spacing w:after="0"/>
        <w:ind w:right="-99"/>
        <w:rPr>
          <w:bCs/>
        </w:rPr>
      </w:pPr>
      <w:r w:rsidRPr="004807EB">
        <w:rPr>
          <w:bCs/>
        </w:rPr>
        <w:t>The core objectives of this SI [1] are:</w:t>
      </w:r>
    </w:p>
    <w:p w:rsidR="00742299" w:rsidRPr="004807EB" w:rsidRDefault="00F93E07" w:rsidP="00742299">
      <w:pPr>
        <w:numPr>
          <w:ilvl w:val="0"/>
          <w:numId w:val="30"/>
        </w:numPr>
        <w:spacing w:after="0"/>
        <w:ind w:right="-99" w:hanging="294"/>
        <w:rPr>
          <w:b/>
          <w:bCs/>
        </w:rPr>
      </w:pPr>
      <w:r w:rsidRPr="004807EB">
        <w:t xml:space="preserve">Analyze the feasibility of specifying two duplex spacings in the band (1695-1710 MHz UL &amp; 1995-2020 MHz DL) in order to provide deployment flexibility in protecting federal satellite receiver sites and addressing market license variations.  </w:t>
      </w:r>
    </w:p>
    <w:p w:rsidR="00742299" w:rsidRPr="004807EB" w:rsidRDefault="00F93E07" w:rsidP="00742299">
      <w:pPr>
        <w:numPr>
          <w:ilvl w:val="0"/>
          <w:numId w:val="30"/>
        </w:numPr>
        <w:spacing w:after="0"/>
        <w:ind w:right="-99" w:hanging="294"/>
      </w:pPr>
      <w:r w:rsidRPr="004807EB">
        <w:t>Identify duplex spacings depending on the outcome of the analysis</w:t>
      </w:r>
    </w:p>
    <w:p w:rsidR="00097F62" w:rsidRPr="004807EB" w:rsidRDefault="00097F62" w:rsidP="00C7417D">
      <w:pPr>
        <w:pStyle w:val="Heading2"/>
        <w:numPr>
          <w:ilvl w:val="0"/>
          <w:numId w:val="29"/>
        </w:numPr>
      </w:pPr>
      <w:r w:rsidRPr="004807EB">
        <w:t xml:space="preserve">Conclusion </w:t>
      </w:r>
    </w:p>
    <w:p w:rsidR="006F48D8" w:rsidRPr="004807EB" w:rsidRDefault="00097F62" w:rsidP="00097F62">
      <w:pPr>
        <w:spacing w:after="0"/>
        <w:jc w:val="both"/>
      </w:pPr>
      <w:r w:rsidRPr="004807EB">
        <w:t xml:space="preserve">In </w:t>
      </w:r>
      <w:r w:rsidR="006F48D8" w:rsidRPr="004807EB">
        <w:t>the study item</w:t>
      </w:r>
      <w:r w:rsidRPr="004807EB">
        <w:t xml:space="preserve"> we have shown</w:t>
      </w:r>
      <w:r w:rsidR="006F48D8" w:rsidRPr="004807EB">
        <w:t xml:space="preserve"> that;  </w:t>
      </w:r>
    </w:p>
    <w:p w:rsidR="00234D54" w:rsidRPr="004807EB" w:rsidRDefault="00234D54" w:rsidP="00097F62">
      <w:pPr>
        <w:spacing w:after="0"/>
        <w:jc w:val="both"/>
      </w:pPr>
    </w:p>
    <w:p w:rsidR="006F48D8" w:rsidRPr="004807EB" w:rsidRDefault="00F93E07" w:rsidP="00C7417D">
      <w:pPr>
        <w:pStyle w:val="ListParagraph"/>
        <w:numPr>
          <w:ilvl w:val="0"/>
          <w:numId w:val="32"/>
        </w:numPr>
        <w:spacing w:after="0"/>
        <w:ind w:left="644"/>
        <w:jc w:val="both"/>
        <w:rPr>
          <w:lang w:eastAsia="ja-JP"/>
        </w:rPr>
      </w:pPr>
      <w:bookmarkStart w:id="13" w:name="_GoBack"/>
      <w:r w:rsidRPr="004807EB">
        <w:t xml:space="preserve">The specification allows the use of other TX channel to RX channel carrier centre frequency separation; such a </w:t>
      </w:r>
      <w:bookmarkEnd w:id="13"/>
      <w:r w:rsidRPr="004807EB">
        <w:t xml:space="preserve">scheme is not precluded and </w:t>
      </w:r>
      <w:r w:rsidRPr="004807EB">
        <w:rPr>
          <w:snapToGrid w:val="0"/>
        </w:rPr>
        <w:t>is intended to form part of a later release]</w:t>
      </w:r>
    </w:p>
    <w:p w:rsidR="000C28B3" w:rsidRPr="004807EB" w:rsidRDefault="000C28B3" w:rsidP="00C7417D">
      <w:pPr>
        <w:pStyle w:val="ListParagraph"/>
        <w:spacing w:after="0"/>
        <w:ind w:left="644"/>
        <w:jc w:val="both"/>
        <w:rPr>
          <w:lang w:eastAsia="ja-JP"/>
        </w:rPr>
      </w:pPr>
    </w:p>
    <w:p w:rsidR="006F48D8" w:rsidRPr="004807EB" w:rsidRDefault="00F93E07" w:rsidP="00C7417D">
      <w:pPr>
        <w:pStyle w:val="ListParagraph"/>
        <w:numPr>
          <w:ilvl w:val="0"/>
          <w:numId w:val="32"/>
        </w:numPr>
        <w:spacing w:after="0"/>
        <w:ind w:left="644"/>
        <w:jc w:val="both"/>
        <w:rPr>
          <w:lang w:eastAsia="ja-JP"/>
        </w:rPr>
      </w:pPr>
      <w:r w:rsidRPr="004807EB">
        <w:t xml:space="preserve">The proposed AWS-3/4 band plan has a large 285 MHz duplex gap and therefore the performance differences between the two TX/RX carrier/duplex spacing are expected to be insignificant. This means the minimum performance requirements for the band can remain consistent regardless of the TX/RX frequency or duplex spacing choice. </w:t>
      </w:r>
    </w:p>
    <w:p w:rsidR="000C28B3" w:rsidRPr="004807EB" w:rsidRDefault="000C28B3" w:rsidP="00C7417D">
      <w:pPr>
        <w:spacing w:after="0"/>
        <w:ind w:left="284"/>
        <w:jc w:val="both"/>
        <w:rPr>
          <w:lang w:eastAsia="ja-JP"/>
        </w:rPr>
      </w:pPr>
    </w:p>
    <w:p w:rsidR="008B542B" w:rsidRPr="004807EB" w:rsidRDefault="00F93E07" w:rsidP="00C7417D">
      <w:pPr>
        <w:pStyle w:val="ListParagraph"/>
        <w:numPr>
          <w:ilvl w:val="0"/>
          <w:numId w:val="32"/>
        </w:numPr>
        <w:spacing w:after="0"/>
        <w:ind w:left="644"/>
        <w:jc w:val="both"/>
        <w:rPr>
          <w:lang w:eastAsia="ja-JP"/>
        </w:rPr>
      </w:pPr>
      <w:r w:rsidRPr="004807EB">
        <w:t xml:space="preserve">The actual performance and conformance test cases for the additional TX/RX spacing (295MHz) would be limited to the one specific deployment configuration (Scenario 2b). </w:t>
      </w:r>
    </w:p>
    <w:p w:rsidR="000C28B3" w:rsidRPr="004807EB" w:rsidRDefault="00F93E07" w:rsidP="00C7417D">
      <w:pPr>
        <w:pStyle w:val="ListParagraph"/>
        <w:numPr>
          <w:ilvl w:val="0"/>
          <w:numId w:val="32"/>
        </w:numPr>
        <w:spacing w:after="0"/>
        <w:ind w:left="644"/>
        <w:jc w:val="both"/>
        <w:rPr>
          <w:lang w:eastAsia="ja-JP"/>
        </w:rPr>
      </w:pPr>
      <w:r w:rsidRPr="004807EB">
        <w:rPr>
          <w:lang w:eastAsia="ja-JP"/>
        </w:rPr>
        <w:t xml:space="preserve">In TS36.331, the signalling support of additional duplex spacing is already available. Therefore, from the signalling point of view, it is possible to specify two TX/RX carrier spacings for a single band </w:t>
      </w:r>
    </w:p>
    <w:p w:rsidR="000C28B3" w:rsidRPr="004807EB" w:rsidRDefault="000C28B3" w:rsidP="00C7417D">
      <w:pPr>
        <w:spacing w:after="0"/>
        <w:ind w:left="284"/>
        <w:jc w:val="both"/>
        <w:rPr>
          <w:lang w:eastAsia="ja-JP"/>
        </w:rPr>
      </w:pPr>
    </w:p>
    <w:p w:rsidR="007F6D5D" w:rsidRPr="004807EB" w:rsidRDefault="00F93E07" w:rsidP="00092CB9">
      <w:pPr>
        <w:pStyle w:val="ListParagraph"/>
        <w:numPr>
          <w:ilvl w:val="0"/>
          <w:numId w:val="32"/>
        </w:numPr>
        <w:spacing w:after="0"/>
        <w:ind w:left="644" w:right="-34"/>
        <w:jc w:val="both"/>
        <w:rPr>
          <w:lang w:eastAsia="ja-JP"/>
        </w:rPr>
      </w:pPr>
      <w:r w:rsidRPr="004807EB">
        <w:t xml:space="preserve">Supporting more than one duplex spacing in a band would be a proactive 3GPP feature, which offers needed flexibility to operators, as more “unconventional” spectrum (unpaired FDD, impaired spectrum and etc.) is being made available for LTE. </w:t>
      </w:r>
    </w:p>
    <w:p w:rsidR="006F48D8" w:rsidRPr="004807EB" w:rsidRDefault="006F48D8" w:rsidP="007F6D5D">
      <w:pPr>
        <w:rPr>
          <w:sz w:val="16"/>
          <w:szCs w:val="16"/>
          <w:lang w:eastAsia="ja-JP"/>
        </w:rPr>
      </w:pPr>
    </w:p>
    <w:p w:rsidR="006F48D8" w:rsidRPr="004807EB" w:rsidRDefault="00F93E07" w:rsidP="006F48D8">
      <w:pPr>
        <w:spacing w:after="0"/>
        <w:jc w:val="both"/>
      </w:pPr>
      <w:r w:rsidRPr="004807EB">
        <w:t>Therefore we have addressed the objectives of the study item which was to analyze the feasibility of specifying two duplex spacings in the band (1695-1710 MHz UL &amp; 1995-2020 MHz DL) in order to provide deployment flexibility in protecting federal satellite receiver sites and addressing market license variations.</w:t>
      </w:r>
    </w:p>
    <w:p w:rsidR="006F48D8" w:rsidRPr="004807EB" w:rsidRDefault="006F48D8" w:rsidP="006F48D8">
      <w:pPr>
        <w:spacing w:after="0"/>
        <w:jc w:val="both"/>
      </w:pPr>
    </w:p>
    <w:p w:rsidR="006F48D8" w:rsidRPr="004807EB" w:rsidRDefault="00F93E07" w:rsidP="006F48D8">
      <w:pPr>
        <w:spacing w:after="0"/>
        <w:jc w:val="both"/>
      </w:pPr>
      <w:r w:rsidRPr="004807EB">
        <w:t>Separately to the required objectives of the study item, we have concluded that maintaining a single carrier/duplex spacing for the AWS-3/4 band arrangements would require the usage of 3DL CA, noting the current specifications do not support 3DL intra-band contiguous CA configurations whose aggregate bandwidths are less than 40MHz</w:t>
      </w:r>
      <w:r w:rsidR="004807EB">
        <w:t xml:space="preserve"> and is </w:t>
      </w:r>
      <w:r w:rsidR="0071210B">
        <w:t xml:space="preserve">therefore </w:t>
      </w:r>
      <w:r w:rsidR="004807EB">
        <w:t>not recommended</w:t>
      </w:r>
    </w:p>
    <w:p w:rsidR="00234D54" w:rsidRPr="004807EB" w:rsidRDefault="00234D54" w:rsidP="00FD095A">
      <w:pPr>
        <w:spacing w:after="0"/>
        <w:jc w:val="both"/>
        <w:rPr>
          <w:snapToGrid w:val="0"/>
        </w:rPr>
      </w:pPr>
    </w:p>
    <w:p w:rsidR="00234D54" w:rsidRPr="004807EB" w:rsidRDefault="00234D54" w:rsidP="00FD095A">
      <w:pPr>
        <w:spacing w:after="0"/>
        <w:jc w:val="both"/>
        <w:rPr>
          <w:snapToGrid w:val="0"/>
        </w:rPr>
      </w:pPr>
      <w:r w:rsidRPr="004807EB">
        <w:rPr>
          <w:snapToGrid w:val="0"/>
        </w:rPr>
        <w:t>Hence, it is concluded that:</w:t>
      </w:r>
    </w:p>
    <w:p w:rsidR="00EB1EED" w:rsidRPr="004807EB" w:rsidRDefault="00EB1EED" w:rsidP="00FD095A">
      <w:pPr>
        <w:spacing w:after="0"/>
        <w:jc w:val="both"/>
        <w:rPr>
          <w:snapToGrid w:val="0"/>
        </w:rPr>
      </w:pPr>
    </w:p>
    <w:p w:rsidR="00234D54" w:rsidRPr="004807EB" w:rsidRDefault="00F93E07" w:rsidP="008B542B">
      <w:pPr>
        <w:pStyle w:val="ListParagraph"/>
        <w:numPr>
          <w:ilvl w:val="0"/>
          <w:numId w:val="32"/>
        </w:numPr>
        <w:spacing w:after="0"/>
        <w:jc w:val="both"/>
        <w:rPr>
          <w:lang w:eastAsia="ja-JP"/>
        </w:rPr>
      </w:pPr>
      <w:r w:rsidRPr="004807EB">
        <w:t>It is feasible to specify two duplex spacings in the proposed band (1695-1710 MHz UL &amp; 1995-2020 MHz DL) and</w:t>
      </w:r>
    </w:p>
    <w:p w:rsidR="00FD095A" w:rsidRPr="004807EB" w:rsidRDefault="00F93E07" w:rsidP="008B542B">
      <w:pPr>
        <w:pStyle w:val="ListParagraph"/>
        <w:numPr>
          <w:ilvl w:val="0"/>
          <w:numId w:val="32"/>
        </w:numPr>
        <w:spacing w:after="0"/>
        <w:jc w:val="both"/>
        <w:rPr>
          <w:lang w:eastAsia="ja-JP"/>
        </w:rPr>
      </w:pPr>
      <w:r w:rsidRPr="004807EB">
        <w:t>It is identified that two duplex spacings of 300 MHz and 295 MHz are required to provide deployment flexibility in protecting federal satellite receiver sites and addressing market license variations.</w:t>
      </w:r>
      <w:r w:rsidRPr="004807EB">
        <w:rPr>
          <w:snapToGrid w:val="0"/>
        </w:rPr>
        <w:t xml:space="preserve"> </w:t>
      </w:r>
    </w:p>
    <w:p w:rsidR="002936A7" w:rsidRDefault="00EB1EED" w:rsidP="006D5E17">
      <w:pPr>
        <w:pStyle w:val="B1"/>
        <w:spacing w:before="240"/>
        <w:ind w:left="0" w:firstLine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3</w:t>
      </w:r>
      <w:r w:rsidR="0090682D">
        <w:rPr>
          <w:rFonts w:ascii="Arial" w:hAnsi="Arial" w:cs="Arial"/>
          <w:sz w:val="32"/>
          <w:szCs w:val="32"/>
        </w:rPr>
        <w:t>.0</w:t>
      </w:r>
      <w:r w:rsidR="0090682D">
        <w:rPr>
          <w:rFonts w:ascii="Arial" w:hAnsi="Arial" w:cs="Arial"/>
          <w:sz w:val="32"/>
          <w:szCs w:val="32"/>
        </w:rPr>
        <w:tab/>
      </w:r>
      <w:r w:rsidR="0090682D">
        <w:rPr>
          <w:rFonts w:ascii="Arial" w:hAnsi="Arial" w:cs="Arial"/>
          <w:sz w:val="32"/>
          <w:szCs w:val="32"/>
        </w:rPr>
        <w:tab/>
      </w:r>
      <w:r w:rsidR="002936A7" w:rsidRPr="004F0E36">
        <w:rPr>
          <w:rFonts w:ascii="Arial" w:hAnsi="Arial" w:cs="Arial"/>
          <w:sz w:val="32"/>
          <w:szCs w:val="32"/>
        </w:rPr>
        <w:t xml:space="preserve">Reference </w:t>
      </w:r>
    </w:p>
    <w:p w:rsidR="00742299" w:rsidRDefault="006D5E17" w:rsidP="00201680">
      <w:pPr>
        <w:pStyle w:val="myReference"/>
        <w:rPr>
          <w:rFonts w:eastAsia="Malgun Gothic"/>
        </w:rPr>
      </w:pPr>
      <w:r>
        <w:t>[1]</w:t>
      </w:r>
      <w:r>
        <w:tab/>
      </w:r>
      <w:r w:rsidR="00742299" w:rsidRPr="006251BB">
        <w:rPr>
          <w:rFonts w:eastAsia="Malgun Gothic"/>
        </w:rPr>
        <w:t>RP-</w:t>
      </w:r>
      <w:r w:rsidR="00742299">
        <w:rPr>
          <w:rFonts w:eastAsia="Malgun Gothic"/>
        </w:rPr>
        <w:t>151626</w:t>
      </w:r>
      <w:r w:rsidR="00742299" w:rsidRPr="006251BB">
        <w:rPr>
          <w:rFonts w:eastAsia="Malgun Gothic"/>
        </w:rPr>
        <w:t xml:space="preserve">, “New </w:t>
      </w:r>
      <w:r w:rsidR="00742299">
        <w:rPr>
          <w:rFonts w:eastAsia="Malgun Gothic"/>
        </w:rPr>
        <w:t>S</w:t>
      </w:r>
      <w:r w:rsidR="00742299" w:rsidRPr="006251BB">
        <w:rPr>
          <w:rFonts w:eastAsia="Malgun Gothic"/>
        </w:rPr>
        <w:t xml:space="preserve">I: </w:t>
      </w:r>
      <w:r w:rsidR="00742299">
        <w:rPr>
          <w:rFonts w:eastAsia="Malgun Gothic"/>
        </w:rPr>
        <w:t>New AWS-3/4 Band Plan</w:t>
      </w:r>
      <w:r w:rsidR="00742299" w:rsidRPr="006251BB">
        <w:rPr>
          <w:rFonts w:eastAsia="Malgun Gothic"/>
        </w:rPr>
        <w:t xml:space="preserve">”, </w:t>
      </w:r>
      <w:r w:rsidR="00742299">
        <w:rPr>
          <w:rFonts w:eastAsia="Malgun Gothic"/>
        </w:rPr>
        <w:t>DISH Network, Hughes Network Systems, Nokia Network, Huawei, Intel, Samsung, Ericsson,</w:t>
      </w:r>
      <w:r w:rsidR="00742299" w:rsidRPr="006251BB">
        <w:rPr>
          <w:rFonts w:eastAsia="Malgun Gothic"/>
        </w:rPr>
        <w:t xml:space="preserve"> 3GPP RAN#6</w:t>
      </w:r>
      <w:r w:rsidR="00742299">
        <w:rPr>
          <w:rFonts w:eastAsia="Malgun Gothic"/>
        </w:rPr>
        <w:t>9</w:t>
      </w:r>
      <w:r w:rsidR="00742299" w:rsidRPr="006251BB">
        <w:rPr>
          <w:rFonts w:eastAsia="Malgun Gothic"/>
        </w:rPr>
        <w:t xml:space="preserve">, </w:t>
      </w:r>
      <w:r w:rsidR="00742299">
        <w:rPr>
          <w:rFonts w:eastAsia="Malgun Gothic"/>
        </w:rPr>
        <w:t>Phoenix</w:t>
      </w:r>
      <w:r w:rsidR="00742299" w:rsidRPr="006251BB">
        <w:rPr>
          <w:rFonts w:eastAsia="Malgun Gothic"/>
        </w:rPr>
        <w:t xml:space="preserve">, </w:t>
      </w:r>
      <w:r w:rsidR="00742299">
        <w:rPr>
          <w:rFonts w:eastAsia="Malgun Gothic"/>
        </w:rPr>
        <w:t>U. S. A.</w:t>
      </w:r>
      <w:r w:rsidR="00742299" w:rsidRPr="006251BB">
        <w:rPr>
          <w:rFonts w:eastAsia="Malgun Gothic"/>
        </w:rPr>
        <w:t xml:space="preserve">, </w:t>
      </w:r>
      <w:r w:rsidR="00742299">
        <w:rPr>
          <w:rFonts w:eastAsia="Malgun Gothic"/>
        </w:rPr>
        <w:t>September</w:t>
      </w:r>
      <w:r w:rsidR="00742299" w:rsidRPr="006251BB">
        <w:rPr>
          <w:rFonts w:eastAsia="Malgun Gothic"/>
        </w:rPr>
        <w:t xml:space="preserve"> 2015</w:t>
      </w:r>
    </w:p>
    <w:p w:rsidR="00EB1EED" w:rsidRDefault="00EB1EED" w:rsidP="00EB1EED">
      <w:pPr>
        <w:pStyle w:val="myReference"/>
      </w:pPr>
      <w:r>
        <w:t xml:space="preserve">[2] </w:t>
      </w:r>
      <w:r>
        <w:tab/>
        <w:t>3GPP TS36.101, v13.1.0</w:t>
      </w:r>
    </w:p>
    <w:p w:rsidR="00EB1EED" w:rsidRDefault="00EB1EED" w:rsidP="00EB1EED">
      <w:pPr>
        <w:pStyle w:val="myReference"/>
        <w:rPr>
          <w:rFonts w:eastAsia="Malgun Gothic"/>
        </w:rPr>
      </w:pPr>
      <w:r>
        <w:rPr>
          <w:rFonts w:eastAsia="Malgun Gothic"/>
        </w:rPr>
        <w:t xml:space="preserve">[3] </w:t>
      </w:r>
      <w:r>
        <w:rPr>
          <w:rFonts w:eastAsia="Malgun Gothic"/>
        </w:rPr>
        <w:tab/>
        <w:t>R4</w:t>
      </w:r>
      <w:r w:rsidRPr="00291B8E">
        <w:rPr>
          <w:rFonts w:eastAsia="Malgun Gothic"/>
        </w:rPr>
        <w:t>-</w:t>
      </w:r>
      <w:r>
        <w:rPr>
          <w:rFonts w:eastAsia="Malgun Gothic"/>
        </w:rPr>
        <w:t>155587</w:t>
      </w:r>
      <w:r w:rsidRPr="00291B8E">
        <w:rPr>
          <w:rFonts w:eastAsia="Malgun Gothic"/>
        </w:rPr>
        <w:t>, “</w:t>
      </w:r>
      <w:r>
        <w:rPr>
          <w:rFonts w:eastAsia="Malgun Gothic"/>
        </w:rPr>
        <w:t>On Two Duplex Spacings in the AWS-3/4 Band”, Intel Corporation, 3GPP RAN4 #76bis, Sophia Antipolis, France, October 2015</w:t>
      </w:r>
    </w:p>
    <w:p w:rsidR="006D5E17" w:rsidRDefault="006D5E17" w:rsidP="00201680">
      <w:pPr>
        <w:ind w:left="720" w:hanging="578"/>
        <w:rPr>
          <w:rFonts w:eastAsia="Malgun Gothic"/>
          <w:lang w:val="en-US" w:eastAsia="en-US"/>
        </w:rPr>
      </w:pPr>
    </w:p>
    <w:p w:rsidR="00D44D69" w:rsidRDefault="006D5E17" w:rsidP="006D5E17">
      <w:pPr>
        <w:jc w:val="center"/>
        <w:rPr>
          <w:rFonts w:eastAsia="Malgun Gothic"/>
          <w:lang w:val="en-US" w:eastAsia="en-US"/>
        </w:rPr>
      </w:pPr>
      <w:r w:rsidRPr="006D5E17">
        <w:rPr>
          <w:rFonts w:eastAsia="Malgun Gothic"/>
          <w:lang w:val="en-US" w:eastAsia="en-US"/>
        </w:rPr>
        <w:t>-</w:t>
      </w:r>
      <w:r>
        <w:rPr>
          <w:rFonts w:eastAsia="Malgun Gothic"/>
          <w:lang w:val="en-US" w:eastAsia="en-US"/>
        </w:rPr>
        <w:t xml:space="preserve">- </w:t>
      </w:r>
      <w:r w:rsidRPr="006D5E17">
        <w:rPr>
          <w:rFonts w:eastAsia="Malgun Gothic"/>
          <w:lang w:val="en-US" w:eastAsia="en-US"/>
        </w:rPr>
        <w:t>Start</w:t>
      </w:r>
      <w:r>
        <w:rPr>
          <w:rFonts w:eastAsia="Malgun Gothic"/>
          <w:lang w:val="en-US" w:eastAsia="en-US"/>
        </w:rPr>
        <w:t xml:space="preserve"> of text proposal ----</w:t>
      </w:r>
    </w:p>
    <w:p w:rsidR="006D5E17" w:rsidRDefault="006D5E17" w:rsidP="006D5E17">
      <w:pPr>
        <w:jc w:val="center"/>
        <w:rPr>
          <w:rFonts w:eastAsia="Malgun Gothic"/>
          <w:lang w:val="en-US" w:eastAsia="en-US"/>
        </w:rPr>
      </w:pPr>
    </w:p>
    <w:p w:rsidR="006D5E17" w:rsidRDefault="006D5E17" w:rsidP="006D5E17">
      <w:pPr>
        <w:pStyle w:val="Heading1"/>
      </w:pPr>
      <w:bookmarkStart w:id="14" w:name="_Toc431403623"/>
      <w:r>
        <w:t>8</w:t>
      </w:r>
      <w:r>
        <w:tab/>
        <w:t>Conclusions</w:t>
      </w:r>
      <w:bookmarkEnd w:id="14"/>
    </w:p>
    <w:p w:rsidR="00A83552" w:rsidRPr="004807EB" w:rsidRDefault="00A83552" w:rsidP="00A83552">
      <w:pPr>
        <w:spacing w:after="0"/>
        <w:ind w:right="-99"/>
        <w:rPr>
          <w:ins w:id="15" w:author="KXDP" w:date="2015-11-20T08:32:00Z"/>
          <w:bCs/>
        </w:rPr>
      </w:pPr>
      <w:ins w:id="16" w:author="KXDP" w:date="2015-11-20T08:32:00Z">
        <w:r w:rsidRPr="004807EB">
          <w:rPr>
            <w:bCs/>
          </w:rPr>
          <w:t>The core objectives of this SI are:</w:t>
        </w:r>
      </w:ins>
    </w:p>
    <w:p w:rsidR="00A83552" w:rsidRPr="004807EB" w:rsidRDefault="00A83552" w:rsidP="00A83552">
      <w:pPr>
        <w:numPr>
          <w:ilvl w:val="0"/>
          <w:numId w:val="30"/>
        </w:numPr>
        <w:spacing w:after="0"/>
        <w:ind w:right="-99" w:hanging="294"/>
        <w:rPr>
          <w:ins w:id="17" w:author="KXDP" w:date="2015-11-20T08:32:00Z"/>
          <w:b/>
          <w:bCs/>
        </w:rPr>
      </w:pPr>
      <w:ins w:id="18" w:author="KXDP" w:date="2015-11-20T08:32:00Z">
        <w:r w:rsidRPr="004807EB">
          <w:t xml:space="preserve">Analyze the feasibility of specifying two duplex spacings in the band (1695-1710 MHz UL &amp; 1995-2020 MHz DL) in order to provide deployment flexibility in protecting federal satellite receiver sites and addressing market license variations.  </w:t>
        </w:r>
      </w:ins>
    </w:p>
    <w:p w:rsidR="00A83552" w:rsidRDefault="00A83552" w:rsidP="00A83552">
      <w:pPr>
        <w:numPr>
          <w:ilvl w:val="0"/>
          <w:numId w:val="30"/>
        </w:numPr>
        <w:spacing w:after="0"/>
        <w:ind w:right="-99" w:hanging="294"/>
        <w:rPr>
          <w:ins w:id="19" w:author="KXDP" w:date="2015-11-20T08:32:00Z"/>
        </w:rPr>
      </w:pPr>
      <w:ins w:id="20" w:author="KXDP" w:date="2015-11-20T08:32:00Z">
        <w:r w:rsidRPr="004807EB">
          <w:t>Identify duplex spacings depending on the outcome of the analysis</w:t>
        </w:r>
      </w:ins>
    </w:p>
    <w:p w:rsidR="00A83552" w:rsidRDefault="00A83552" w:rsidP="00A83552">
      <w:pPr>
        <w:spacing w:after="0"/>
        <w:ind w:right="-99"/>
        <w:rPr>
          <w:ins w:id="21" w:author="KXDP" w:date="2015-11-20T08:32:00Z"/>
        </w:rPr>
        <w:pPrChange w:id="22" w:author="KXDP" w:date="2015-11-20T08:32:00Z">
          <w:pPr>
            <w:numPr>
              <w:numId w:val="30"/>
            </w:numPr>
            <w:spacing w:after="0"/>
            <w:ind w:left="862" w:right="-99" w:hanging="294"/>
          </w:pPr>
        </w:pPrChange>
      </w:pPr>
    </w:p>
    <w:p w:rsidR="00A83552" w:rsidRPr="004807EB" w:rsidRDefault="00A83552" w:rsidP="00A83552">
      <w:pPr>
        <w:spacing w:after="0"/>
        <w:ind w:right="-99"/>
        <w:rPr>
          <w:ins w:id="23" w:author="KXDP" w:date="2015-11-20T08:32:00Z"/>
        </w:rPr>
        <w:pPrChange w:id="24" w:author="KXDP" w:date="2015-11-20T08:32:00Z">
          <w:pPr>
            <w:numPr>
              <w:numId w:val="30"/>
            </w:numPr>
            <w:spacing w:after="0"/>
            <w:ind w:left="862" w:right="-99" w:hanging="294"/>
          </w:pPr>
        </w:pPrChange>
      </w:pPr>
    </w:p>
    <w:p w:rsidR="00A83552" w:rsidRDefault="00A83552" w:rsidP="00A83552">
      <w:pPr>
        <w:spacing w:after="0"/>
        <w:jc w:val="both"/>
        <w:rPr>
          <w:ins w:id="25" w:author="KXDP" w:date="2015-11-20T08:32:00Z"/>
        </w:rPr>
      </w:pPr>
      <w:ins w:id="26" w:author="KXDP" w:date="2015-11-20T08:33:00Z">
        <w:r>
          <w:t xml:space="preserve">The outcome of the SI are; </w:t>
        </w:r>
      </w:ins>
    </w:p>
    <w:p w:rsidR="00A83552" w:rsidRPr="004807EB" w:rsidRDefault="00A83552" w:rsidP="00A83552">
      <w:pPr>
        <w:spacing w:after="0"/>
        <w:jc w:val="both"/>
        <w:rPr>
          <w:ins w:id="27" w:author="KXDP" w:date="2015-11-20T08:31:00Z"/>
        </w:rPr>
      </w:pPr>
    </w:p>
    <w:p w:rsidR="00A83552" w:rsidRPr="004807EB" w:rsidRDefault="00A83552" w:rsidP="00A83552">
      <w:pPr>
        <w:pStyle w:val="ListParagraph"/>
        <w:numPr>
          <w:ilvl w:val="0"/>
          <w:numId w:val="32"/>
        </w:numPr>
        <w:spacing w:after="0"/>
        <w:ind w:left="644"/>
        <w:jc w:val="both"/>
        <w:rPr>
          <w:ins w:id="28" w:author="KXDP" w:date="2015-11-20T08:31:00Z"/>
          <w:lang w:eastAsia="ja-JP"/>
        </w:rPr>
      </w:pPr>
      <w:ins w:id="29" w:author="KXDP" w:date="2015-11-20T08:31:00Z">
        <w:r>
          <w:t xml:space="preserve">The specification allows </w:t>
        </w:r>
        <w:r w:rsidRPr="004807EB">
          <w:t xml:space="preserve">the use of other TX channel to RX channel carrier centre frequency separation; such a scheme is not precluded and </w:t>
        </w:r>
        <w:r w:rsidRPr="004807EB">
          <w:rPr>
            <w:snapToGrid w:val="0"/>
          </w:rPr>
          <w:t>is intended to form part of a later release]</w:t>
        </w:r>
      </w:ins>
    </w:p>
    <w:p w:rsidR="00A83552" w:rsidRPr="004807EB" w:rsidRDefault="00A83552" w:rsidP="00A83552">
      <w:pPr>
        <w:pStyle w:val="ListParagraph"/>
        <w:spacing w:after="0"/>
        <w:ind w:left="644"/>
        <w:jc w:val="both"/>
        <w:rPr>
          <w:ins w:id="30" w:author="KXDP" w:date="2015-11-20T08:31:00Z"/>
          <w:lang w:eastAsia="ja-JP"/>
        </w:rPr>
      </w:pPr>
    </w:p>
    <w:p w:rsidR="00A83552" w:rsidRPr="004807EB" w:rsidRDefault="00A83552" w:rsidP="00A83552">
      <w:pPr>
        <w:pStyle w:val="ListParagraph"/>
        <w:numPr>
          <w:ilvl w:val="0"/>
          <w:numId w:val="32"/>
        </w:numPr>
        <w:spacing w:after="0"/>
        <w:ind w:left="644"/>
        <w:jc w:val="both"/>
        <w:rPr>
          <w:ins w:id="31" w:author="KXDP" w:date="2015-11-20T08:31:00Z"/>
          <w:lang w:eastAsia="ja-JP"/>
        </w:rPr>
      </w:pPr>
      <w:ins w:id="32" w:author="KXDP" w:date="2015-11-20T08:31:00Z">
        <w:r w:rsidRPr="004807EB">
          <w:t xml:space="preserve">The proposed AWS-3/4 band plan has a large 285 MHz duplex gap and therefore the performance differences between the two TX/RX carrier/duplex spacing are expected to be insignificant. This means the minimum performance requirements for the band can remain consistent regardless of the TX/RX frequency or duplex spacing choice. </w:t>
        </w:r>
      </w:ins>
    </w:p>
    <w:p w:rsidR="00A83552" w:rsidRPr="004807EB" w:rsidRDefault="00A83552" w:rsidP="00A83552">
      <w:pPr>
        <w:spacing w:after="0"/>
        <w:ind w:left="284"/>
        <w:jc w:val="both"/>
        <w:rPr>
          <w:ins w:id="33" w:author="KXDP" w:date="2015-11-20T08:31:00Z"/>
          <w:lang w:eastAsia="ja-JP"/>
        </w:rPr>
      </w:pPr>
    </w:p>
    <w:p w:rsidR="00A83552" w:rsidRPr="004807EB" w:rsidRDefault="00A83552" w:rsidP="00A83552">
      <w:pPr>
        <w:pStyle w:val="ListParagraph"/>
        <w:numPr>
          <w:ilvl w:val="0"/>
          <w:numId w:val="32"/>
        </w:numPr>
        <w:spacing w:after="0"/>
        <w:ind w:left="644"/>
        <w:jc w:val="both"/>
        <w:rPr>
          <w:ins w:id="34" w:author="KXDP" w:date="2015-11-20T08:31:00Z"/>
          <w:lang w:eastAsia="ja-JP"/>
        </w:rPr>
      </w:pPr>
      <w:ins w:id="35" w:author="KXDP" w:date="2015-11-20T08:31:00Z">
        <w:r w:rsidRPr="004807EB">
          <w:t xml:space="preserve">The actual performance and conformance test cases for the additional TX/RX spacing (295MHz) would be limited to the one specific deployment configuration (Scenario 2b). </w:t>
        </w:r>
      </w:ins>
    </w:p>
    <w:p w:rsidR="00A83552" w:rsidRPr="004807EB" w:rsidRDefault="00A83552" w:rsidP="00A83552">
      <w:pPr>
        <w:pStyle w:val="ListParagraph"/>
        <w:numPr>
          <w:ilvl w:val="0"/>
          <w:numId w:val="32"/>
        </w:numPr>
        <w:spacing w:after="0"/>
        <w:ind w:left="644"/>
        <w:jc w:val="both"/>
        <w:rPr>
          <w:ins w:id="36" w:author="KXDP" w:date="2015-11-20T08:31:00Z"/>
          <w:lang w:eastAsia="ja-JP"/>
        </w:rPr>
      </w:pPr>
      <w:ins w:id="37" w:author="KXDP" w:date="2015-11-20T08:31:00Z">
        <w:r w:rsidRPr="004807EB">
          <w:rPr>
            <w:lang w:eastAsia="ja-JP"/>
          </w:rPr>
          <w:t xml:space="preserve">In TS36.331, the signalling support of additional duplex spacing is already available. Therefore, from the signalling point of view, it is possible to specify two TX/RX carrier spacings for a single band </w:t>
        </w:r>
      </w:ins>
    </w:p>
    <w:p w:rsidR="00A83552" w:rsidRPr="004807EB" w:rsidRDefault="00A83552" w:rsidP="00A83552">
      <w:pPr>
        <w:spacing w:after="0"/>
        <w:ind w:left="284"/>
        <w:jc w:val="both"/>
        <w:rPr>
          <w:ins w:id="38" w:author="KXDP" w:date="2015-11-20T08:31:00Z"/>
          <w:lang w:eastAsia="ja-JP"/>
        </w:rPr>
      </w:pPr>
    </w:p>
    <w:p w:rsidR="00A83552" w:rsidRPr="004807EB" w:rsidRDefault="00A83552" w:rsidP="00A83552">
      <w:pPr>
        <w:pStyle w:val="ListParagraph"/>
        <w:numPr>
          <w:ilvl w:val="0"/>
          <w:numId w:val="32"/>
        </w:numPr>
        <w:spacing w:after="0"/>
        <w:ind w:left="644" w:right="-34"/>
        <w:jc w:val="both"/>
        <w:rPr>
          <w:ins w:id="39" w:author="KXDP" w:date="2015-11-20T08:31:00Z"/>
          <w:lang w:eastAsia="ja-JP"/>
        </w:rPr>
      </w:pPr>
      <w:ins w:id="40" w:author="KXDP" w:date="2015-11-20T08:31:00Z">
        <w:r w:rsidRPr="004807EB">
          <w:t xml:space="preserve">Supporting more than one duplex spacing in a band would be a proactive 3GPP feature, which offers needed flexibility to operators, as more “unconventional” spectrum (unpaired FDD, impaired spectrum and etc.) is being made available for LTE. </w:t>
        </w:r>
      </w:ins>
    </w:p>
    <w:p w:rsidR="00A83552" w:rsidRPr="004807EB" w:rsidRDefault="00A83552" w:rsidP="00A83552">
      <w:pPr>
        <w:rPr>
          <w:ins w:id="41" w:author="KXDP" w:date="2015-11-20T08:31:00Z"/>
          <w:sz w:val="16"/>
          <w:szCs w:val="16"/>
          <w:lang w:eastAsia="ja-JP"/>
        </w:rPr>
      </w:pPr>
    </w:p>
    <w:p w:rsidR="00A83552" w:rsidRPr="004807EB" w:rsidRDefault="00A83552" w:rsidP="00A83552">
      <w:pPr>
        <w:spacing w:after="0"/>
        <w:jc w:val="both"/>
        <w:rPr>
          <w:ins w:id="42" w:author="KXDP" w:date="2015-11-20T08:31:00Z"/>
        </w:rPr>
      </w:pPr>
      <w:ins w:id="43" w:author="KXDP" w:date="2015-11-20T08:31:00Z">
        <w:r w:rsidRPr="004807EB">
          <w:t>Therefore</w:t>
        </w:r>
      </w:ins>
      <w:ins w:id="44" w:author="KXDP" w:date="2015-11-20T08:34:00Z">
        <w:r>
          <w:t>,</w:t>
        </w:r>
      </w:ins>
      <w:ins w:id="45" w:author="KXDP" w:date="2015-11-20T08:31:00Z">
        <w:r w:rsidRPr="004807EB">
          <w:t xml:space="preserve"> we have addressed the objectives of the study item which was to analyze the feasibility of specifying two duplex spacings in the band (1695-1710 MHz UL &amp; 1995-2020 MHz DL) in order to provide deployment flexibility in protecting federal satellite receiver sites and addressing market license variations.</w:t>
        </w:r>
      </w:ins>
    </w:p>
    <w:p w:rsidR="00A83552" w:rsidRPr="004807EB" w:rsidRDefault="00A83552" w:rsidP="00A83552">
      <w:pPr>
        <w:spacing w:after="0"/>
        <w:jc w:val="both"/>
        <w:rPr>
          <w:ins w:id="46" w:author="KXDP" w:date="2015-11-20T08:31:00Z"/>
        </w:rPr>
      </w:pPr>
    </w:p>
    <w:p w:rsidR="00A83552" w:rsidRPr="004807EB" w:rsidRDefault="00A83552" w:rsidP="00A83552">
      <w:pPr>
        <w:spacing w:after="0"/>
        <w:jc w:val="both"/>
        <w:rPr>
          <w:ins w:id="47" w:author="KXDP" w:date="2015-11-20T08:31:00Z"/>
        </w:rPr>
      </w:pPr>
      <w:ins w:id="48" w:author="KXDP" w:date="2015-11-20T08:31:00Z">
        <w:r w:rsidRPr="004807EB">
          <w:t>Separately to the required objectives of the study item, we have concluded that maintaining a single carrier/duplex spacing for the AWS-3/4 band arrangements would require the usage of 3DL CA, noting the current specifications do not support 3DL intra-band contiguous CA configurations whose aggregate bandwidths are less than 40MHz</w:t>
        </w:r>
        <w:r>
          <w:t xml:space="preserve"> and is therefore not recommended</w:t>
        </w:r>
      </w:ins>
    </w:p>
    <w:p w:rsidR="00A83552" w:rsidRPr="004807EB" w:rsidRDefault="00A83552" w:rsidP="00A83552">
      <w:pPr>
        <w:spacing w:after="0"/>
        <w:jc w:val="both"/>
        <w:rPr>
          <w:ins w:id="49" w:author="KXDP" w:date="2015-11-20T08:31:00Z"/>
          <w:snapToGrid w:val="0"/>
        </w:rPr>
      </w:pPr>
    </w:p>
    <w:p w:rsidR="00A83552" w:rsidRPr="004807EB" w:rsidRDefault="00A83552" w:rsidP="00A83552">
      <w:pPr>
        <w:spacing w:after="0"/>
        <w:jc w:val="both"/>
        <w:rPr>
          <w:ins w:id="50" w:author="KXDP" w:date="2015-11-20T08:31:00Z"/>
          <w:snapToGrid w:val="0"/>
        </w:rPr>
      </w:pPr>
      <w:ins w:id="51" w:author="KXDP" w:date="2015-11-20T08:31:00Z">
        <w:r w:rsidRPr="004807EB">
          <w:rPr>
            <w:snapToGrid w:val="0"/>
          </w:rPr>
          <w:t>Hence, it is concluded that:</w:t>
        </w:r>
      </w:ins>
    </w:p>
    <w:p w:rsidR="00A83552" w:rsidRPr="004807EB" w:rsidRDefault="00A83552" w:rsidP="00A83552">
      <w:pPr>
        <w:spacing w:after="0"/>
        <w:jc w:val="both"/>
        <w:rPr>
          <w:ins w:id="52" w:author="KXDP" w:date="2015-11-20T08:31:00Z"/>
          <w:snapToGrid w:val="0"/>
        </w:rPr>
      </w:pPr>
    </w:p>
    <w:p w:rsidR="00A83552" w:rsidRDefault="00A83552" w:rsidP="00A83552">
      <w:pPr>
        <w:pStyle w:val="ListParagraph"/>
        <w:numPr>
          <w:ilvl w:val="0"/>
          <w:numId w:val="32"/>
        </w:numPr>
        <w:spacing w:after="0"/>
        <w:jc w:val="both"/>
        <w:rPr>
          <w:ins w:id="53" w:author="KXDP" w:date="2015-11-20T08:34:00Z"/>
          <w:lang w:eastAsia="ja-JP"/>
        </w:rPr>
        <w:pPrChange w:id="54" w:author="KXDP" w:date="2015-11-20T08:34:00Z">
          <w:pPr>
            <w:jc w:val="center"/>
          </w:pPr>
        </w:pPrChange>
      </w:pPr>
      <w:ins w:id="55" w:author="KXDP" w:date="2015-11-20T08:31:00Z">
        <w:r w:rsidRPr="004807EB">
          <w:t>It is feasible to specify two duplex spacings in the proposed band (1695-1710 MHz UL &amp; 1995-2020 MHz DL) and</w:t>
        </w:r>
      </w:ins>
    </w:p>
    <w:p w:rsidR="007F6D5D" w:rsidRDefault="00A83552" w:rsidP="00A83552">
      <w:pPr>
        <w:pStyle w:val="ListParagraph"/>
        <w:numPr>
          <w:ilvl w:val="0"/>
          <w:numId w:val="32"/>
        </w:numPr>
        <w:spacing w:after="0"/>
        <w:jc w:val="both"/>
        <w:rPr>
          <w:ins w:id="56" w:author="KXDP" w:date="2015-11-20T08:34:00Z"/>
          <w:lang w:eastAsia="ja-JP"/>
        </w:rPr>
        <w:pPrChange w:id="57" w:author="KXDP" w:date="2015-11-20T08:34:00Z">
          <w:pPr>
            <w:jc w:val="center"/>
          </w:pPr>
        </w:pPrChange>
      </w:pPr>
      <w:ins w:id="58" w:author="KXDP" w:date="2015-11-20T08:31:00Z">
        <w:r w:rsidRPr="004807EB">
          <w:t>It is identified that two duplex spacings of 300 MHz and 295 MHz are required to provide deployment flexibility in protecting federal satellite receiver sites and addressing market license variations</w:t>
        </w:r>
      </w:ins>
    </w:p>
    <w:p w:rsidR="00A83552" w:rsidRDefault="00A83552" w:rsidP="00A83552">
      <w:pPr>
        <w:pStyle w:val="ListParagraph"/>
        <w:numPr>
          <w:ilvl w:val="0"/>
          <w:numId w:val="32"/>
        </w:numPr>
        <w:spacing w:after="0"/>
        <w:jc w:val="both"/>
        <w:rPr>
          <w:lang w:eastAsia="ja-JP"/>
        </w:rPr>
        <w:pPrChange w:id="59" w:author="KXDP" w:date="2015-11-20T08:34:00Z">
          <w:pPr>
            <w:jc w:val="center"/>
          </w:pPr>
        </w:pPrChange>
      </w:pPr>
    </w:p>
    <w:p w:rsidR="00201680" w:rsidRDefault="00201680" w:rsidP="00201680">
      <w:pPr>
        <w:jc w:val="center"/>
        <w:rPr>
          <w:rFonts w:eastAsia="Malgun Gothic"/>
          <w:lang w:val="en-US" w:eastAsia="en-US"/>
        </w:rPr>
      </w:pPr>
      <w:r w:rsidRPr="006D5E17">
        <w:rPr>
          <w:rFonts w:eastAsia="Malgun Gothic"/>
          <w:lang w:val="en-US" w:eastAsia="en-US"/>
        </w:rPr>
        <w:t>-</w:t>
      </w:r>
      <w:r>
        <w:rPr>
          <w:rFonts w:eastAsia="Malgun Gothic"/>
          <w:lang w:val="en-US" w:eastAsia="en-US"/>
        </w:rPr>
        <w:t>- End of text proposal ----</w:t>
      </w:r>
    </w:p>
    <w:p w:rsidR="00201680" w:rsidRPr="00201680" w:rsidRDefault="00201680" w:rsidP="00201680">
      <w:pPr>
        <w:spacing w:after="0"/>
        <w:jc w:val="both"/>
        <w:rPr>
          <w:b/>
          <w:lang w:eastAsia="ja-JP"/>
        </w:rPr>
      </w:pPr>
    </w:p>
    <w:p w:rsidR="006D5E17" w:rsidRPr="008A467B" w:rsidRDefault="006D5E17" w:rsidP="006D5E17">
      <w:pPr>
        <w:jc w:val="center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4D6" w:rsidRDefault="000064D6">
      <w:r>
        <w:separator/>
      </w:r>
    </w:p>
  </w:endnote>
  <w:endnote w:type="continuationSeparator" w:id="0">
    <w:p w:rsidR="000064D6" w:rsidRDefault="0000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4D6" w:rsidRDefault="000064D6">
      <w:r>
        <w:separator/>
      </w:r>
    </w:p>
  </w:footnote>
  <w:footnote w:type="continuationSeparator" w:id="0">
    <w:p w:rsidR="000064D6" w:rsidRDefault="00006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1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5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8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19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4"/>
  </w:num>
  <w:num w:numId="4">
    <w:abstractNumId w:val="4"/>
  </w:num>
  <w:num w:numId="5">
    <w:abstractNumId w:val="22"/>
  </w:num>
  <w:num w:numId="6">
    <w:abstractNumId w:val="7"/>
  </w:num>
  <w:num w:numId="7">
    <w:abstractNumId w:val="31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5"/>
  </w:num>
  <w:num w:numId="13">
    <w:abstractNumId w:val="10"/>
  </w:num>
  <w:num w:numId="14">
    <w:abstractNumId w:val="1"/>
  </w:num>
  <w:num w:numId="15">
    <w:abstractNumId w:val="23"/>
  </w:num>
  <w:num w:numId="16">
    <w:abstractNumId w:val="15"/>
  </w:num>
  <w:num w:numId="17">
    <w:abstractNumId w:val="12"/>
  </w:num>
  <w:num w:numId="18">
    <w:abstractNumId w:val="20"/>
  </w:num>
  <w:num w:numId="19">
    <w:abstractNumId w:val="29"/>
  </w:num>
  <w:num w:numId="20">
    <w:abstractNumId w:val="19"/>
  </w:num>
  <w:num w:numId="21">
    <w:abstractNumId w:val="16"/>
  </w:num>
  <w:num w:numId="22">
    <w:abstractNumId w:val="12"/>
  </w:num>
  <w:num w:numId="23">
    <w:abstractNumId w:val="29"/>
  </w:num>
  <w:num w:numId="24">
    <w:abstractNumId w:val="26"/>
  </w:num>
  <w:num w:numId="25">
    <w:abstractNumId w:val="25"/>
  </w:num>
  <w:num w:numId="26">
    <w:abstractNumId w:val="24"/>
  </w:num>
  <w:num w:numId="27">
    <w:abstractNumId w:val="11"/>
  </w:num>
  <w:num w:numId="28">
    <w:abstractNumId w:val="18"/>
  </w:num>
  <w:num w:numId="29">
    <w:abstractNumId w:val="0"/>
  </w:num>
  <w:num w:numId="30">
    <w:abstractNumId w:val="27"/>
  </w:num>
  <w:num w:numId="31">
    <w:abstractNumId w:val="8"/>
  </w:num>
  <w:num w:numId="32">
    <w:abstractNumId w:val="21"/>
  </w:num>
  <w:num w:numId="33">
    <w:abstractNumId w:val="13"/>
  </w:num>
  <w:num w:numId="34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XDP">
    <w15:presenceInfo w15:providerId="None" w15:userId="KXD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6202"/>
    <w:rsid w:val="0007700F"/>
    <w:rsid w:val="00077728"/>
    <w:rsid w:val="00082F0B"/>
    <w:rsid w:val="00085D2E"/>
    <w:rsid w:val="00086DCD"/>
    <w:rsid w:val="00091166"/>
    <w:rsid w:val="00093FF8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24E8"/>
    <w:rsid w:val="000C28B3"/>
    <w:rsid w:val="000D3A44"/>
    <w:rsid w:val="000D60B1"/>
    <w:rsid w:val="000E0A4D"/>
    <w:rsid w:val="000E351F"/>
    <w:rsid w:val="000E6DA0"/>
    <w:rsid w:val="000F1CEB"/>
    <w:rsid w:val="000F3925"/>
    <w:rsid w:val="001026FB"/>
    <w:rsid w:val="00106101"/>
    <w:rsid w:val="00112219"/>
    <w:rsid w:val="00112FFE"/>
    <w:rsid w:val="00113288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2262E"/>
    <w:rsid w:val="002227A1"/>
    <w:rsid w:val="00222A8D"/>
    <w:rsid w:val="00223756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21A9"/>
    <w:rsid w:val="004038D1"/>
    <w:rsid w:val="00404107"/>
    <w:rsid w:val="004066C3"/>
    <w:rsid w:val="004149D0"/>
    <w:rsid w:val="00415F57"/>
    <w:rsid w:val="00421B35"/>
    <w:rsid w:val="00421D3B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6D70"/>
    <w:rsid w:val="00467D33"/>
    <w:rsid w:val="00474F2A"/>
    <w:rsid w:val="0047771D"/>
    <w:rsid w:val="004807EB"/>
    <w:rsid w:val="00482892"/>
    <w:rsid w:val="00483D33"/>
    <w:rsid w:val="004841EB"/>
    <w:rsid w:val="00484A74"/>
    <w:rsid w:val="00485179"/>
    <w:rsid w:val="00485ED6"/>
    <w:rsid w:val="00491C2F"/>
    <w:rsid w:val="00492F57"/>
    <w:rsid w:val="00493B5A"/>
    <w:rsid w:val="004941AC"/>
    <w:rsid w:val="00495BB0"/>
    <w:rsid w:val="00496226"/>
    <w:rsid w:val="004968A2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D0EF4"/>
    <w:rsid w:val="005D1A91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EF3"/>
    <w:rsid w:val="006E700D"/>
    <w:rsid w:val="006E7ECF"/>
    <w:rsid w:val="006F1AC1"/>
    <w:rsid w:val="006F381A"/>
    <w:rsid w:val="006F48D8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EA1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6024"/>
    <w:rsid w:val="007560AC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B86"/>
    <w:rsid w:val="0089136B"/>
    <w:rsid w:val="0089176B"/>
    <w:rsid w:val="00895731"/>
    <w:rsid w:val="00897269"/>
    <w:rsid w:val="00897304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E4F06"/>
    <w:rsid w:val="008E70A5"/>
    <w:rsid w:val="008E7795"/>
    <w:rsid w:val="008F3ABE"/>
    <w:rsid w:val="00905DFD"/>
    <w:rsid w:val="0090682D"/>
    <w:rsid w:val="00913998"/>
    <w:rsid w:val="0091424C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82AEB"/>
    <w:rsid w:val="00983623"/>
    <w:rsid w:val="0098380D"/>
    <w:rsid w:val="00983B22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242B3"/>
    <w:rsid w:val="00A265CA"/>
    <w:rsid w:val="00A266C3"/>
    <w:rsid w:val="00A3008B"/>
    <w:rsid w:val="00A3015E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B21D4"/>
    <w:rsid w:val="00AB4F2E"/>
    <w:rsid w:val="00AC0509"/>
    <w:rsid w:val="00AD36EF"/>
    <w:rsid w:val="00AD4DB4"/>
    <w:rsid w:val="00AE214F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33FCC"/>
    <w:rsid w:val="00B36856"/>
    <w:rsid w:val="00B36EC6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796C"/>
    <w:rsid w:val="00BE0040"/>
    <w:rsid w:val="00BE39B2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67B4"/>
    <w:rsid w:val="00C52CE1"/>
    <w:rsid w:val="00C53A2C"/>
    <w:rsid w:val="00C54580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735D"/>
    <w:rsid w:val="00CC0617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D01418"/>
    <w:rsid w:val="00D0226B"/>
    <w:rsid w:val="00D03467"/>
    <w:rsid w:val="00D03798"/>
    <w:rsid w:val="00D110C3"/>
    <w:rsid w:val="00D11D78"/>
    <w:rsid w:val="00D1237D"/>
    <w:rsid w:val="00D15A55"/>
    <w:rsid w:val="00D167C5"/>
    <w:rsid w:val="00D16B45"/>
    <w:rsid w:val="00D16D1B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BB"/>
    <w:rsid w:val="00D40331"/>
    <w:rsid w:val="00D43C89"/>
    <w:rsid w:val="00D44D69"/>
    <w:rsid w:val="00D467D7"/>
    <w:rsid w:val="00D51012"/>
    <w:rsid w:val="00D54C9A"/>
    <w:rsid w:val="00D56FA9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508C"/>
    <w:rsid w:val="00D872B6"/>
    <w:rsid w:val="00D91825"/>
    <w:rsid w:val="00D95D38"/>
    <w:rsid w:val="00DA2F0B"/>
    <w:rsid w:val="00DA4D27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7B8B"/>
    <w:rsid w:val="00E12466"/>
    <w:rsid w:val="00E15D4C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B1EED"/>
    <w:rsid w:val="00EB2A2A"/>
    <w:rsid w:val="00EB2BF4"/>
    <w:rsid w:val="00EB70B9"/>
    <w:rsid w:val="00EC0BFB"/>
    <w:rsid w:val="00EC4961"/>
    <w:rsid w:val="00ED1119"/>
    <w:rsid w:val="00ED24E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03FDCA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FD9B3-45F7-419F-8041-CE35BA70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5831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5</cp:revision>
  <cp:lastPrinted>2015-11-03T18:44:00Z</cp:lastPrinted>
  <dcterms:created xsi:type="dcterms:W3CDTF">2015-11-20T13:08:00Z</dcterms:created>
  <dcterms:modified xsi:type="dcterms:W3CDTF">2015-11-20T16:35:00Z</dcterms:modified>
</cp:coreProperties>
</file>